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92CC" w14:textId="104D26A2" w:rsidR="009179DC" w:rsidRPr="009179DC" w:rsidRDefault="0087157C" w:rsidP="009179DC">
      <w:pPr>
        <w:spacing w:after="0" w:line="288" w:lineRule="atLeast"/>
        <w:outlineLvl w:val="0"/>
        <w:rPr>
          <w:rFonts w:ascii="Comic Sans MS" w:eastAsia="Times New Roman" w:hAnsi="Comic Sans MS" w:cs="Times New Roman"/>
          <w:kern w:val="36"/>
          <w:sz w:val="40"/>
          <w:szCs w:val="40"/>
          <w:lang w:eastAsia="it-IT"/>
        </w:rPr>
      </w:pPr>
      <w:r>
        <w:rPr>
          <w:rFonts w:ascii="Comic Sans MS" w:eastAsia="Times New Roman" w:hAnsi="Comic Sans MS" w:cs="Times New Roman"/>
          <w:kern w:val="36"/>
          <w:sz w:val="40"/>
          <w:szCs w:val="40"/>
          <w:lang w:eastAsia="it-IT"/>
        </w:rPr>
        <w:fldChar w:fldCharType="begin"/>
      </w:r>
      <w:r>
        <w:rPr>
          <w:rFonts w:ascii="Comic Sans MS" w:eastAsia="Times New Roman" w:hAnsi="Comic Sans MS" w:cs="Times New Roman"/>
          <w:kern w:val="36"/>
          <w:sz w:val="40"/>
          <w:szCs w:val="40"/>
          <w:lang w:eastAsia="it-IT"/>
        </w:rPr>
        <w:instrText xml:space="preserve"> HYPERLINK "http://www.odceckr.it" </w:instrText>
      </w:r>
      <w:r>
        <w:rPr>
          <w:rFonts w:ascii="Comic Sans MS" w:eastAsia="Times New Roman" w:hAnsi="Comic Sans MS" w:cs="Times New Roman"/>
          <w:kern w:val="36"/>
          <w:sz w:val="40"/>
          <w:szCs w:val="40"/>
          <w:lang w:eastAsia="it-IT"/>
        </w:rPr>
      </w:r>
      <w:r>
        <w:rPr>
          <w:rFonts w:ascii="Comic Sans MS" w:eastAsia="Times New Roman" w:hAnsi="Comic Sans MS" w:cs="Times New Roman"/>
          <w:kern w:val="36"/>
          <w:sz w:val="40"/>
          <w:szCs w:val="40"/>
          <w:lang w:eastAsia="it-IT"/>
        </w:rPr>
        <w:fldChar w:fldCharType="separate"/>
      </w:r>
      <w:r w:rsidR="009179DC" w:rsidRPr="0087157C">
        <w:rPr>
          <w:rStyle w:val="Collegamentoipertestuale"/>
          <w:rFonts w:ascii="Comic Sans MS" w:eastAsia="Times New Roman" w:hAnsi="Comic Sans MS" w:cs="Times New Roman"/>
          <w:kern w:val="36"/>
          <w:sz w:val="40"/>
          <w:szCs w:val="40"/>
          <w:lang w:eastAsia="it-IT"/>
        </w:rPr>
        <w:t xml:space="preserve">La composizione negoziata della crisi </w:t>
      </w:r>
      <w:proofErr w:type="gramStart"/>
      <w:r w:rsidR="009179DC" w:rsidRPr="0087157C">
        <w:rPr>
          <w:rStyle w:val="Collegamentoipertestuale"/>
          <w:rFonts w:ascii="Comic Sans MS" w:eastAsia="Times New Roman" w:hAnsi="Comic Sans MS" w:cs="Times New Roman"/>
          <w:kern w:val="36"/>
          <w:sz w:val="40"/>
          <w:szCs w:val="40"/>
          <w:lang w:eastAsia="it-IT"/>
        </w:rPr>
        <w:t>d’impresa ”</w:t>
      </w:r>
      <w:proofErr w:type="gramEnd"/>
      <w:r w:rsidR="009179DC" w:rsidRPr="0087157C">
        <w:rPr>
          <w:rStyle w:val="Collegamentoipertestuale"/>
          <w:rFonts w:ascii="Comic Sans MS" w:eastAsia="Times New Roman" w:hAnsi="Comic Sans MS" w:cs="Times New Roman"/>
          <w:kern w:val="36"/>
          <w:sz w:val="40"/>
          <w:szCs w:val="40"/>
          <w:lang w:eastAsia="it-IT"/>
        </w:rPr>
        <w:t xml:space="preserve"> sotto sogl</w:t>
      </w:r>
      <w:r w:rsidR="009179DC" w:rsidRPr="0087157C">
        <w:rPr>
          <w:rStyle w:val="Collegamentoipertestuale"/>
          <w:rFonts w:ascii="Comic Sans MS" w:eastAsia="Times New Roman" w:hAnsi="Comic Sans MS" w:cs="Times New Roman"/>
          <w:kern w:val="36"/>
          <w:sz w:val="40"/>
          <w:szCs w:val="40"/>
          <w:lang w:eastAsia="it-IT"/>
        </w:rPr>
        <w:t>i</w:t>
      </w:r>
      <w:r w:rsidR="009179DC" w:rsidRPr="0087157C">
        <w:rPr>
          <w:rStyle w:val="Collegamentoipertestuale"/>
          <w:rFonts w:ascii="Comic Sans MS" w:eastAsia="Times New Roman" w:hAnsi="Comic Sans MS" w:cs="Times New Roman"/>
          <w:kern w:val="36"/>
          <w:sz w:val="40"/>
          <w:szCs w:val="40"/>
          <w:lang w:eastAsia="it-IT"/>
        </w:rPr>
        <w:t>a” ( Art. 17 D.L. 118/2021 )</w:t>
      </w:r>
      <w:r>
        <w:rPr>
          <w:rFonts w:ascii="Comic Sans MS" w:eastAsia="Times New Roman" w:hAnsi="Comic Sans MS" w:cs="Times New Roman"/>
          <w:kern w:val="36"/>
          <w:sz w:val="40"/>
          <w:szCs w:val="40"/>
          <w:lang w:eastAsia="it-IT"/>
        </w:rPr>
        <w:fldChar w:fldCharType="end"/>
      </w:r>
    </w:p>
    <w:p w14:paraId="2D691F01" w14:textId="77777777" w:rsidR="009179DC" w:rsidRDefault="009179DC" w:rsidP="009179DC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3"/>
          <w:szCs w:val="23"/>
          <w:lang w:eastAsia="it-IT"/>
        </w:rPr>
      </w:pPr>
    </w:p>
    <w:p w14:paraId="19355715" w14:textId="102656C1" w:rsidR="009179DC" w:rsidRDefault="009179DC" w:rsidP="009179DC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3"/>
          <w:szCs w:val="23"/>
          <w:lang w:eastAsia="it-IT"/>
        </w:rPr>
      </w:pPr>
      <w:r w:rsidRPr="009179DC">
        <w:rPr>
          <w:rFonts w:ascii="Times New Roman" w:eastAsia="Times New Roman" w:hAnsi="Times New Roman" w:cs="Times New Roman"/>
          <w:color w:val="595959"/>
          <w:sz w:val="23"/>
          <w:szCs w:val="23"/>
          <w:lang w:eastAsia="it-IT"/>
        </w:rPr>
        <w:t xml:space="preserve">Novembre </w:t>
      </w:r>
      <w:r w:rsidR="008424E7">
        <w:rPr>
          <w:rFonts w:ascii="Times New Roman" w:eastAsia="Times New Roman" w:hAnsi="Times New Roman" w:cs="Times New Roman"/>
          <w:color w:val="595959"/>
          <w:sz w:val="23"/>
          <w:szCs w:val="23"/>
          <w:lang w:eastAsia="it-IT"/>
        </w:rPr>
        <w:t>10</w:t>
      </w:r>
      <w:r w:rsidRPr="009179DC">
        <w:rPr>
          <w:rFonts w:ascii="Times New Roman" w:eastAsia="Times New Roman" w:hAnsi="Times New Roman" w:cs="Times New Roman"/>
          <w:color w:val="595959"/>
          <w:sz w:val="23"/>
          <w:szCs w:val="23"/>
          <w:lang w:eastAsia="it-IT"/>
        </w:rPr>
        <w:t xml:space="preserve">, 2021 </w:t>
      </w:r>
    </w:p>
    <w:p w14:paraId="3CE4657C" w14:textId="77777777" w:rsidR="009179DC" w:rsidRPr="009179DC" w:rsidRDefault="009179DC" w:rsidP="009179DC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3"/>
          <w:szCs w:val="23"/>
          <w:lang w:eastAsia="it-IT"/>
        </w:rPr>
      </w:pPr>
    </w:p>
    <w:p w14:paraId="2E5A723C" w14:textId="016AC155" w:rsidR="009179DC" w:rsidRPr="008424E7" w:rsidRDefault="009179DC" w:rsidP="00161526">
      <w:pPr>
        <w:shd w:val="clear" w:color="auto" w:fill="FFFFFF"/>
        <w:spacing w:after="360" w:line="240" w:lineRule="auto"/>
        <w:rPr>
          <w:rFonts w:ascii="Comic Sans MS" w:eastAsia="Times New Roman" w:hAnsi="Comic Sans MS" w:cs="Arial"/>
          <w:color w:val="222222"/>
          <w:lang w:eastAsia="it-IT"/>
        </w:rPr>
      </w:pPr>
      <w:r w:rsidRPr="008424E7">
        <w:rPr>
          <w:rFonts w:ascii="Comic Sans MS" w:eastAsia="Times New Roman" w:hAnsi="Comic Sans MS" w:cs="Arial"/>
          <w:color w:val="222222"/>
          <w:lang w:eastAsia="it-IT"/>
        </w:rPr>
        <w:t xml:space="preserve">L’imprenditore commerciale e agricolo che possiede congiuntamente i requisiti di cui all’art. 1, c. 2 R.D. 16.03.1942, n. </w:t>
      </w:r>
      <w:proofErr w:type="gramStart"/>
      <w:r w:rsidRPr="008424E7">
        <w:rPr>
          <w:rFonts w:ascii="Comic Sans MS" w:eastAsia="Times New Roman" w:hAnsi="Comic Sans MS" w:cs="Arial"/>
          <w:color w:val="222222"/>
          <w:lang w:eastAsia="it-IT"/>
        </w:rPr>
        <w:t>267</w:t>
      </w:r>
      <w:r w:rsidR="00161526" w:rsidRPr="008424E7">
        <w:rPr>
          <w:rFonts w:ascii="Comic Sans MS" w:eastAsia="Times New Roman" w:hAnsi="Comic Sans MS" w:cs="Arial"/>
          <w:color w:val="222222"/>
          <w:lang w:eastAsia="it-IT"/>
        </w:rPr>
        <w:t xml:space="preserve">  </w:t>
      </w:r>
      <w:r w:rsidRPr="008424E7">
        <w:rPr>
          <w:rFonts w:ascii="Comic Sans MS" w:eastAsia="Times New Roman" w:hAnsi="Comic Sans MS" w:cs="Arial"/>
          <w:color w:val="222222"/>
          <w:lang w:eastAsia="it-IT"/>
        </w:rPr>
        <w:t>”</w:t>
      </w:r>
      <w:proofErr w:type="gramEnd"/>
      <w:r w:rsidRPr="008424E7">
        <w:rPr>
          <w:rFonts w:ascii="Comic Sans MS" w:eastAsia="Times New Roman" w:hAnsi="Comic Sans MS" w:cs="Arial"/>
          <w:color w:val="222222"/>
          <w:lang w:eastAsia="it-IT"/>
        </w:rPr>
        <w:t>cd imprese sotto  soglia” e che si trova in condizioni di squilibrio    patrimoniale o economico-finanziario  che  ne rendono   probabile  la crisi o l’insolvenza, può chiedere la nomina dell’esperto</w:t>
      </w:r>
      <w:r w:rsidR="00161526" w:rsidRPr="008424E7">
        <w:rPr>
          <w:rFonts w:ascii="Comic Sans MS" w:eastAsia="Times New Roman" w:hAnsi="Comic Sans MS" w:cs="Arial"/>
          <w:color w:val="222222"/>
          <w:lang w:eastAsia="it-IT"/>
        </w:rPr>
        <w:t xml:space="preserve"> </w:t>
      </w:r>
      <w:r w:rsidRPr="008424E7">
        <w:rPr>
          <w:rFonts w:ascii="Comic Sans MS" w:eastAsia="Times New Roman" w:hAnsi="Comic Sans MS" w:cs="Arial"/>
          <w:color w:val="222222"/>
          <w:lang w:eastAsia="it-IT"/>
        </w:rPr>
        <w:t>indipendente  quando risulta</w:t>
      </w:r>
      <w:r w:rsidR="00161526" w:rsidRPr="008424E7">
        <w:rPr>
          <w:rFonts w:ascii="Comic Sans MS" w:eastAsia="Times New Roman" w:hAnsi="Comic Sans MS" w:cs="Arial"/>
          <w:color w:val="222222"/>
          <w:lang w:eastAsia="it-IT"/>
        </w:rPr>
        <w:t xml:space="preserve"> </w:t>
      </w:r>
      <w:r w:rsidRPr="008424E7">
        <w:rPr>
          <w:rFonts w:ascii="Comic Sans MS" w:eastAsia="Times New Roman" w:hAnsi="Comic Sans MS" w:cs="Arial"/>
          <w:color w:val="222222"/>
          <w:lang w:eastAsia="it-IT"/>
        </w:rPr>
        <w:t>ragionevolmente     perseguibile il risanamento  dell’impresa. La disciplina fallimentare stabilisce che non sono soggetti alle disposizioni sul fallimento e sul concordato preventivo gli imprenditori commerciali che dimostrino il possesso congiunto dei seguenti requisiti:</w:t>
      </w:r>
    </w:p>
    <w:p w14:paraId="5EDD24B6" w14:textId="1B6D7AE2" w:rsidR="009179DC" w:rsidRPr="008424E7" w:rsidRDefault="009179DC" w:rsidP="009179DC">
      <w:pPr>
        <w:shd w:val="clear" w:color="auto" w:fill="FFFFFF"/>
        <w:spacing w:after="360" w:line="240" w:lineRule="auto"/>
        <w:jc w:val="both"/>
        <w:rPr>
          <w:rFonts w:ascii="Comic Sans MS" w:eastAsia="Times New Roman" w:hAnsi="Comic Sans MS" w:cs="Arial"/>
          <w:color w:val="222222"/>
          <w:lang w:eastAsia="it-IT"/>
        </w:rPr>
      </w:pPr>
      <w:r w:rsidRPr="008424E7">
        <w:rPr>
          <w:rFonts w:ascii="Comic Sans MS" w:eastAsia="Times New Roman" w:hAnsi="Comic Sans MS" w:cs="Arial"/>
          <w:color w:val="222222"/>
          <w:lang w:eastAsia="it-IT"/>
        </w:rPr>
        <w:t>a) avere avuto, nei 3 esercizi antecedenti la data di deposito della istanza di fallimento o dall’inizio dell’attività se di durata inferiore, un attivo patrimoniale</w:t>
      </w:r>
      <w:r w:rsidR="008424E7">
        <w:rPr>
          <w:rFonts w:ascii="Comic Sans MS" w:eastAsia="Times New Roman" w:hAnsi="Comic Sans MS" w:cs="Arial"/>
          <w:color w:val="222222"/>
          <w:lang w:eastAsia="it-IT"/>
        </w:rPr>
        <w:t xml:space="preserve"> </w:t>
      </w:r>
      <w:r w:rsidRPr="008424E7">
        <w:rPr>
          <w:rFonts w:ascii="Comic Sans MS" w:eastAsia="Times New Roman" w:hAnsi="Comic Sans MS" w:cs="Arial"/>
          <w:color w:val="222222"/>
          <w:lang w:eastAsia="it-IT"/>
        </w:rPr>
        <w:t>  di ammontare complessivo annuo non superiore ad € 300.000;</w:t>
      </w:r>
    </w:p>
    <w:p w14:paraId="64D64DCE" w14:textId="77777777" w:rsidR="009179DC" w:rsidRPr="008424E7" w:rsidRDefault="009179DC" w:rsidP="009179DC">
      <w:pPr>
        <w:shd w:val="clear" w:color="auto" w:fill="FFFFFF"/>
        <w:spacing w:after="360" w:line="240" w:lineRule="auto"/>
        <w:jc w:val="both"/>
        <w:rPr>
          <w:rFonts w:ascii="Comic Sans MS" w:eastAsia="Times New Roman" w:hAnsi="Comic Sans MS" w:cs="Arial"/>
          <w:color w:val="222222"/>
          <w:lang w:eastAsia="it-IT"/>
        </w:rPr>
      </w:pPr>
      <w:r w:rsidRPr="008424E7">
        <w:rPr>
          <w:rFonts w:ascii="Comic Sans MS" w:eastAsia="Times New Roman" w:hAnsi="Comic Sans MS" w:cs="Arial"/>
          <w:color w:val="222222"/>
          <w:lang w:eastAsia="it-IT"/>
        </w:rPr>
        <w:t>b) avere realizzato, in qualunque modo risulti, nei 3 esercizi antecedenti la data di deposito dell’istanza di    fallimento o dall’inizio dell’attività se.  di durata inferiore, ricavi lordi per un ammontare complessivo annuo non superiore ad € 200.000;</w:t>
      </w:r>
    </w:p>
    <w:p w14:paraId="0C73C310" w14:textId="38570567" w:rsidR="009179DC" w:rsidRPr="008424E7" w:rsidRDefault="009179DC" w:rsidP="009179DC">
      <w:pPr>
        <w:shd w:val="clear" w:color="auto" w:fill="FFFFFF"/>
        <w:spacing w:after="360" w:line="240" w:lineRule="auto"/>
        <w:jc w:val="both"/>
        <w:rPr>
          <w:rFonts w:ascii="Comic Sans MS" w:eastAsia="Times New Roman" w:hAnsi="Comic Sans MS" w:cs="Arial"/>
          <w:color w:val="222222"/>
          <w:lang w:eastAsia="it-IT"/>
        </w:rPr>
      </w:pPr>
      <w:r w:rsidRPr="008424E7">
        <w:rPr>
          <w:rFonts w:ascii="Comic Sans MS" w:eastAsia="Times New Roman" w:hAnsi="Comic Sans MS" w:cs="Arial"/>
          <w:color w:val="222222"/>
          <w:lang w:eastAsia="it-IT"/>
        </w:rPr>
        <w:t xml:space="preserve">c) avere un ammontare di debiti anche </w:t>
      </w:r>
      <w:proofErr w:type="gramStart"/>
      <w:r w:rsidRPr="008424E7">
        <w:rPr>
          <w:rFonts w:ascii="Comic Sans MS" w:eastAsia="Times New Roman" w:hAnsi="Comic Sans MS" w:cs="Arial"/>
          <w:color w:val="222222"/>
          <w:lang w:eastAsia="it-IT"/>
        </w:rPr>
        <w:t>non  scaduti</w:t>
      </w:r>
      <w:proofErr w:type="gramEnd"/>
      <w:r w:rsidRPr="008424E7">
        <w:rPr>
          <w:rFonts w:ascii="Comic Sans MS" w:eastAsia="Times New Roman" w:hAnsi="Comic Sans MS" w:cs="Arial"/>
          <w:color w:val="222222"/>
          <w:lang w:eastAsia="it-IT"/>
        </w:rPr>
        <w:t xml:space="preserve"> non superiore ad € 500.000. Tali limiti dimensionali possono essere aggiornati ogni 3 anni con decreto del Ministro della Giustizia.</w:t>
      </w:r>
    </w:p>
    <w:p w14:paraId="500EED84" w14:textId="46622B85" w:rsidR="009179DC" w:rsidRPr="008424E7" w:rsidRDefault="009179DC" w:rsidP="009179DC">
      <w:pPr>
        <w:shd w:val="clear" w:color="auto" w:fill="FFFFFF"/>
        <w:spacing w:after="360" w:line="240" w:lineRule="auto"/>
        <w:jc w:val="both"/>
        <w:rPr>
          <w:rFonts w:ascii="Comic Sans MS" w:eastAsia="Times New Roman" w:hAnsi="Comic Sans MS" w:cs="Arial"/>
          <w:color w:val="222222"/>
          <w:lang w:eastAsia="it-IT"/>
        </w:rPr>
      </w:pPr>
      <w:r w:rsidRPr="008424E7">
        <w:rPr>
          <w:rFonts w:ascii="Comic Sans MS" w:eastAsia="Times New Roman" w:hAnsi="Comic Sans MS" w:cs="Arial"/>
          <w:color w:val="222222"/>
          <w:lang w:eastAsia="it-IT"/>
        </w:rPr>
        <w:t xml:space="preserve">Il compito dell’esperto è quello di agevolare le    trattative tra </w:t>
      </w:r>
      <w:proofErr w:type="gramStart"/>
      <w:r w:rsidRPr="008424E7">
        <w:rPr>
          <w:rFonts w:ascii="Comic Sans MS" w:eastAsia="Times New Roman" w:hAnsi="Comic Sans MS" w:cs="Arial"/>
          <w:color w:val="222222"/>
          <w:lang w:eastAsia="it-IT"/>
        </w:rPr>
        <w:t>l’imprenditore,   </w:t>
      </w:r>
      <w:proofErr w:type="gramEnd"/>
      <w:r w:rsidRPr="008424E7">
        <w:rPr>
          <w:rFonts w:ascii="Comic Sans MS" w:eastAsia="Times New Roman" w:hAnsi="Comic Sans MS" w:cs="Arial"/>
          <w:color w:val="222222"/>
          <w:lang w:eastAsia="it-IT"/>
        </w:rPr>
        <w:t>i creditori ed eventuali altri soggetti interessati, al fine di individuare una soluzione per il   superamento delle condizioni di crisi,   anche mediante il trasferimento    dell’azienda o di  rami di essa.</w:t>
      </w:r>
    </w:p>
    <w:p w14:paraId="67BABD56" w14:textId="77777777" w:rsidR="009179DC" w:rsidRPr="008424E7" w:rsidRDefault="009179DC" w:rsidP="009179DC">
      <w:pPr>
        <w:shd w:val="clear" w:color="auto" w:fill="FFFFFF"/>
        <w:spacing w:after="360" w:line="240" w:lineRule="auto"/>
        <w:jc w:val="both"/>
        <w:rPr>
          <w:rFonts w:ascii="Comic Sans MS" w:eastAsia="Times New Roman" w:hAnsi="Comic Sans MS" w:cs="Arial"/>
          <w:color w:val="222222"/>
          <w:lang w:eastAsia="it-IT"/>
        </w:rPr>
      </w:pPr>
      <w:r w:rsidRPr="008424E7">
        <w:rPr>
          <w:rFonts w:ascii="Comic Sans MS" w:eastAsia="Times New Roman" w:hAnsi="Comic Sans MS" w:cs="Arial"/>
          <w:color w:val="222222"/>
          <w:lang w:eastAsia="it-IT"/>
        </w:rPr>
        <w:t>MODALITA’ DI ACCESSO ALLA PROCEDURA:</w:t>
      </w:r>
    </w:p>
    <w:p w14:paraId="01FE8B06" w14:textId="77777777" w:rsidR="009179DC" w:rsidRPr="008424E7" w:rsidRDefault="009179DC" w:rsidP="009179DC">
      <w:pPr>
        <w:shd w:val="clear" w:color="auto" w:fill="FFFFFF"/>
        <w:spacing w:after="360" w:line="240" w:lineRule="auto"/>
        <w:jc w:val="both"/>
        <w:rPr>
          <w:rFonts w:ascii="Comic Sans MS" w:eastAsia="Times New Roman" w:hAnsi="Comic Sans MS" w:cs="Arial"/>
          <w:color w:val="222222"/>
          <w:lang w:eastAsia="it-IT"/>
        </w:rPr>
      </w:pPr>
      <w:r w:rsidRPr="008424E7">
        <w:rPr>
          <w:rFonts w:ascii="Comic Sans MS" w:eastAsia="Times New Roman" w:hAnsi="Comic Sans MS" w:cs="Arial"/>
          <w:color w:val="222222"/>
          <w:lang w:eastAsia="it-IT"/>
        </w:rPr>
        <w:t>Deposito di un’istanza presso l’organismo di composizione della crisi (O.C.C.) oppure, nelle forme previste dal medesimo art. 5, c. 1 D.L. 118/2021, al segretario generale della camera di commercio, industria, artigianato e agricoltura nel cui ambito territoriale si trova la sede legale dell’impresa.</w:t>
      </w:r>
    </w:p>
    <w:p w14:paraId="1D28258C" w14:textId="77777777" w:rsidR="009179DC" w:rsidRPr="009179DC" w:rsidRDefault="0087157C" w:rsidP="009179DC">
      <w:pPr>
        <w:shd w:val="clear" w:color="auto" w:fill="FFFFFF"/>
        <w:spacing w:line="240" w:lineRule="auto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it-IT"/>
        </w:rPr>
      </w:pPr>
      <w:hyperlink r:id="rId4" w:history="1">
        <w:r w:rsidR="009179DC" w:rsidRPr="009179DC">
          <w:rPr>
            <w:rFonts w:ascii="Comic Sans MS" w:eastAsia="Times New Roman" w:hAnsi="Comic Sans MS" w:cs="Arial"/>
            <w:color w:val="1E73BE"/>
            <w:sz w:val="20"/>
            <w:szCs w:val="20"/>
            <w:u w:val="single"/>
            <w:lang w:eastAsia="it-IT"/>
          </w:rPr>
          <w:t>SIMULAZIONE DEL TEST PRATICO PER LA VERIFICA DELLA RAGIONEVOLE</w:t>
        </w:r>
        <w:r w:rsidR="009179DC" w:rsidRPr="009179DC">
          <w:rPr>
            <w:rFonts w:ascii="Comic Sans MS" w:eastAsia="Times New Roman" w:hAnsi="Comic Sans MS" w:cs="Arial"/>
            <w:color w:val="1E73BE"/>
            <w:sz w:val="20"/>
            <w:szCs w:val="20"/>
            <w:lang w:eastAsia="it-IT"/>
          </w:rPr>
          <w:br/>
        </w:r>
        <w:r w:rsidR="009179DC" w:rsidRPr="009179DC">
          <w:rPr>
            <w:rFonts w:ascii="Comic Sans MS" w:eastAsia="Times New Roman" w:hAnsi="Comic Sans MS" w:cs="Arial"/>
            <w:color w:val="1E73BE"/>
            <w:sz w:val="20"/>
            <w:szCs w:val="20"/>
            <w:u w:val="single"/>
            <w:lang w:eastAsia="it-IT"/>
          </w:rPr>
          <w:t xml:space="preserve">PERSEGUIBILITA’ DEL RISANAMENTO (ART 3 </w:t>
        </w:r>
        <w:proofErr w:type="spellStart"/>
        <w:r w:rsidR="009179DC" w:rsidRPr="009179DC">
          <w:rPr>
            <w:rFonts w:ascii="Comic Sans MS" w:eastAsia="Times New Roman" w:hAnsi="Comic Sans MS" w:cs="Arial"/>
            <w:color w:val="1E73BE"/>
            <w:sz w:val="20"/>
            <w:szCs w:val="20"/>
            <w:u w:val="single"/>
            <w:lang w:eastAsia="it-IT"/>
          </w:rPr>
          <w:t>c.o</w:t>
        </w:r>
        <w:proofErr w:type="spellEnd"/>
        <w:r w:rsidR="009179DC" w:rsidRPr="009179DC">
          <w:rPr>
            <w:rFonts w:ascii="Comic Sans MS" w:eastAsia="Times New Roman" w:hAnsi="Comic Sans MS" w:cs="Arial"/>
            <w:color w:val="1E73BE"/>
            <w:sz w:val="20"/>
            <w:szCs w:val="20"/>
            <w:u w:val="single"/>
            <w:lang w:eastAsia="it-IT"/>
          </w:rPr>
          <w:t>. 2, del D.L. 118/</w:t>
        </w:r>
        <w:proofErr w:type="gramStart"/>
        <w:r w:rsidR="009179DC" w:rsidRPr="009179DC">
          <w:rPr>
            <w:rFonts w:ascii="Comic Sans MS" w:eastAsia="Times New Roman" w:hAnsi="Comic Sans MS" w:cs="Arial"/>
            <w:color w:val="1E73BE"/>
            <w:sz w:val="20"/>
            <w:szCs w:val="20"/>
            <w:u w:val="single"/>
            <w:lang w:eastAsia="it-IT"/>
          </w:rPr>
          <w:t>2021 )</w:t>
        </w:r>
        <w:proofErr w:type="gramEnd"/>
      </w:hyperlink>
      <w:hyperlink r:id="rId5" w:history="1">
        <w:r w:rsidR="009179DC" w:rsidRPr="009179DC">
          <w:rPr>
            <w:rFonts w:ascii="Comic Sans MS" w:eastAsia="Times New Roman" w:hAnsi="Comic Sans MS" w:cs="Arial"/>
            <w:color w:val="FFFFFF"/>
            <w:sz w:val="20"/>
            <w:szCs w:val="20"/>
            <w:u w:val="single"/>
            <w:shd w:val="clear" w:color="auto" w:fill="32373C"/>
            <w:lang w:eastAsia="it-IT"/>
          </w:rPr>
          <w:t>Download</w:t>
        </w:r>
      </w:hyperlink>
    </w:p>
    <w:p w14:paraId="28352077" w14:textId="77777777" w:rsidR="009179DC" w:rsidRPr="009179DC" w:rsidRDefault="0087157C" w:rsidP="009179DC">
      <w:pPr>
        <w:shd w:val="clear" w:color="auto" w:fill="FFFFFF"/>
        <w:spacing w:line="240" w:lineRule="auto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it-IT"/>
        </w:rPr>
      </w:pPr>
      <w:hyperlink r:id="rId6" w:history="1">
        <w:r w:rsidR="009179DC" w:rsidRPr="009179DC">
          <w:rPr>
            <w:rFonts w:ascii="Comic Sans MS" w:eastAsia="Times New Roman" w:hAnsi="Comic Sans MS" w:cs="Arial"/>
            <w:color w:val="1E73BE"/>
            <w:sz w:val="20"/>
            <w:szCs w:val="20"/>
            <w:u w:val="single"/>
            <w:lang w:eastAsia="it-IT"/>
          </w:rPr>
          <w:t>DECRETO DIRIGENZIALE DEL. 28 SETTEMBRE 2021</w:t>
        </w:r>
      </w:hyperlink>
      <w:hyperlink r:id="rId7" w:history="1">
        <w:r w:rsidR="009179DC" w:rsidRPr="009179DC">
          <w:rPr>
            <w:rFonts w:ascii="Comic Sans MS" w:eastAsia="Times New Roman" w:hAnsi="Comic Sans MS" w:cs="Arial"/>
            <w:color w:val="FFFFFF"/>
            <w:sz w:val="20"/>
            <w:szCs w:val="20"/>
            <w:u w:val="single"/>
            <w:shd w:val="clear" w:color="auto" w:fill="32373C"/>
            <w:lang w:eastAsia="it-IT"/>
          </w:rPr>
          <w:t>Download</w:t>
        </w:r>
      </w:hyperlink>
    </w:p>
    <w:p w14:paraId="192B2CFB" w14:textId="203F4FFD" w:rsidR="009179DC" w:rsidRPr="009179DC" w:rsidRDefault="0087157C" w:rsidP="009179DC">
      <w:pPr>
        <w:shd w:val="clear" w:color="auto" w:fill="FFFFFF"/>
        <w:spacing w:line="240" w:lineRule="auto"/>
        <w:jc w:val="both"/>
        <w:rPr>
          <w:rFonts w:ascii="Comic Sans MS" w:eastAsia="Times New Roman" w:hAnsi="Comic Sans MS" w:cs="Arial"/>
          <w:color w:val="222222"/>
          <w:sz w:val="20"/>
          <w:szCs w:val="20"/>
          <w:lang w:eastAsia="it-IT"/>
        </w:rPr>
      </w:pPr>
      <w:hyperlink r:id="rId8" w:history="1">
        <w:r w:rsidR="009179DC" w:rsidRPr="009179DC">
          <w:rPr>
            <w:rFonts w:ascii="Comic Sans MS" w:eastAsia="Times New Roman" w:hAnsi="Comic Sans MS" w:cs="Arial"/>
            <w:color w:val="1E73BE"/>
            <w:sz w:val="20"/>
            <w:szCs w:val="20"/>
            <w:u w:val="single"/>
            <w:lang w:eastAsia="it-IT"/>
          </w:rPr>
          <w:t>D.L.118_2021-CONVERTITO CON MODIFICAZIONI </w:t>
        </w:r>
      </w:hyperlink>
      <w:hyperlink r:id="rId9" w:history="1">
        <w:r w:rsidR="009179DC" w:rsidRPr="009179DC">
          <w:rPr>
            <w:rFonts w:ascii="Comic Sans MS" w:eastAsia="Times New Roman" w:hAnsi="Comic Sans MS" w:cs="Arial"/>
            <w:color w:val="FFFFFF"/>
            <w:sz w:val="20"/>
            <w:szCs w:val="20"/>
            <w:u w:val="single"/>
            <w:shd w:val="clear" w:color="auto" w:fill="32373C"/>
            <w:lang w:eastAsia="it-IT"/>
          </w:rPr>
          <w:t>Download</w:t>
        </w:r>
      </w:hyperlink>
    </w:p>
    <w:p w14:paraId="5E5E1388" w14:textId="547ED1B1" w:rsidR="00C475AA" w:rsidRPr="009179DC" w:rsidRDefault="00C475AA" w:rsidP="009179DC">
      <w:pPr>
        <w:jc w:val="both"/>
        <w:rPr>
          <w:rFonts w:ascii="Comic Sans MS" w:hAnsi="Comic Sans MS"/>
          <w:sz w:val="20"/>
          <w:szCs w:val="20"/>
        </w:rPr>
      </w:pPr>
    </w:p>
    <w:sectPr w:rsidR="00C475AA" w:rsidRPr="009179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DC"/>
    <w:rsid w:val="00161526"/>
    <w:rsid w:val="00491E7E"/>
    <w:rsid w:val="008424E7"/>
    <w:rsid w:val="0087157C"/>
    <w:rsid w:val="009179DC"/>
    <w:rsid w:val="00C4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6E01"/>
  <w15:chartTrackingRefBased/>
  <w15:docId w15:val="{EF62A603-A06D-45D3-A304-48FFC59B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715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157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1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9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3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0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343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42206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5579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cteramo.it/wp-content/uploads/2021/11/D.L.118_2021-CONVERTIT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ccteramo.it/wp-content/uploads/2021/11/Al-decreto-dirigenziale-direttore-28-settembre-2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ccteramo.it/wp-content/uploads/2021/11/Al-decreto-dirigenziale-direttore-28-settembre-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ccteramo.it/wp-content/uploads/2021/11/TEST-DI-PESEGUIBILITA_06112021.xls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occteramo.it/wp-content/uploads/2021/11/TEST-DI-PESEGUIBILITA_06112021.xlsx" TargetMode="External"/><Relationship Id="rId9" Type="http://schemas.openxmlformats.org/officeDocument/2006/relationships/hyperlink" Target="https://www.occteramo.it/wp-content/uploads/2021/11/D.L.118_2021-CONVERTITO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2021-11-11T08:51:00Z</dcterms:created>
  <dcterms:modified xsi:type="dcterms:W3CDTF">2021-11-11T09:44:00Z</dcterms:modified>
</cp:coreProperties>
</file>